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1F3864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OFFCHARTCPD  </w:t>
            </w:r>
            <w:r>
              <w:rPr>
                <w:rFonts w:ascii="Arial" w:cs="Arial" w:eastAsia="Arial" w:hAnsi="Arial"/>
                <w:color w:val="AACCEE"/>
                <w:sz w:val="18"/>
                <w:szCs w:val="18"/>
              </w:rPr>
              <w:t xml:space="preserve">Facilitator Resource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PEARLS — Quick Reference Card</w:t>
            </w:r>
          </w:p>
          <w:p>
            <w:r>
              <w:rPr>
                <w:rFonts w:ascii="Arial" w:cs="Arial" w:eastAsia="Arial" w:hAnsi="Arial"/>
                <w:i/>
                <w:iCs/>
                <w:color w:val="CCDDEE"/>
                <w:sz w:val="19"/>
                <w:szCs w:val="19"/>
              </w:rPr>
              <w:t xml:space="preserve">Field card — print, laminate, carry</w:t>
            </w:r>
          </w:p>
        </w:tc>
      </w:tr>
    </w:tbl>
    <w:p>
      <w:pPr>
        <w:spacing w:after="200" w:before="100"/>
      </w:pPr>
      <w:r>
        <w:rPr>
          <w:rFonts w:ascii="Arial" w:cs="Arial" w:eastAsia="Arial" w:hAnsi="Arial"/>
          <w:i/>
          <w:iCs/>
          <w:color w:val="666666"/>
          <w:sz w:val="16"/>
          <w:szCs w:val="16"/>
        </w:rPr>
        <w:t xml:space="preserve">Condensed field version. See the Facilitator Guide for full detail and rationale.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600"/>
        <w:gridCol w:w="5560"/>
      </w:tblGrid>
      <w:tr>
        <w:trPr>
          <w:tblHeader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Phase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Time</w:t>
            </w:r>
          </w:p>
        </w:tc>
        <w:tc>
          <w:tcPr>
            <w:tcW w:type="dxa" w:w="5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Say this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1. Reactions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2–3 min</w:t>
            </w:r>
          </w:p>
        </w:tc>
        <w:tc>
          <w:tcPr>
            <w:tcW w:type="dxa" w:w="5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“How are you feeling about that one?”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2. Description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3–5 min</w:t>
            </w:r>
          </w:p>
        </w:tc>
        <w:tc>
          <w:tcPr>
            <w:tcW w:type="dxa" w:w="5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“Talk us through what happened, from the start.”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3. Analysis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15–20 min</w:t>
            </w:r>
          </w:p>
        </w:tc>
        <w:tc>
          <w:tcPr>
            <w:tcW w:type="dxa" w:w="5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Self-assessment first → advocacy–inquiry if it stalls → directive only if safety-critical.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4. Summary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3–5 min</w:t>
            </w:r>
          </w:p>
        </w:tc>
        <w:tc>
          <w:tcPr>
            <w:tcW w:type="dxa" w:w="5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“One thing you'll take back to your own department?”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2"/>
              <w:left w:val="single" w:color="2E5D9E" w:sz="16"/>
              <w:bottom w:val="single" w:color="CCCCCC" w:sz="2"/>
              <w:right w:val="single" w:color="CCCCCC" w:sz="2"/>
            </w:tcBorders>
            <w:shd w:fill="EEF3F8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E5D9E"/>
                <w:sz w:val="17"/>
                <w:szCs w:val="17"/>
              </w:rPr>
              <w:t xml:space="preserve">Advocacy–inquiry, one line</w:t>
            </w:r>
          </w:p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Observation, then curiosity: “I saw X — what was happening there?” Not: “Why did you do X?”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2"/>
              <w:left w:val="single" w:color="2E5D9E" w:sz="16"/>
              <w:bottom w:val="single" w:color="CCCCCC" w:sz="2"/>
              <w:right w:val="single" w:color="CCCCCC" w:sz="2"/>
            </w:tcBorders>
            <w:shd w:fill="EEF3F8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E5D9E"/>
                <w:sz w:val="17"/>
                <w:szCs w:val="17"/>
              </w:rPr>
              <w:t xml:space="preserve">If in doubt</w:t>
            </w:r>
          </w:p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Ask, don't tell. Directive feedback is for safety-critical gaps only — use it sparingly with a room full of senior clinicians.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2"/>
              <w:left w:val="single" w:color="2E5D9E" w:sz="16"/>
              <w:bottom w:val="single" w:color="CCCCCC" w:sz="2"/>
              <w:right w:val="single" w:color="CCCCCC" w:sz="2"/>
            </w:tcBorders>
            <w:shd w:fill="EEF3F8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E5D9E"/>
                <w:sz w:val="17"/>
                <w:szCs w:val="17"/>
              </w:rPr>
              <w:t xml:space="preserve">Two or three, not everything</w:t>
            </w:r>
          </w:p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Pick the two or three decision points that matter most. Depth beats breadth in a 20-minute window.</w:t>
            </w:r>
          </w:p>
        </w:tc>
      </w:tr>
    </w:tbl>
    <w:p>
      <w:pPr>
        <w:pBdr>
          <w:top w:val="single" w:color="CCCCCC" w:sz="4" w:space="8"/>
        </w:pBdr>
        <w:spacing w:before="300"/>
      </w:pPr>
      <w:r>
        <w:rPr>
          <w:rFonts w:ascii="Arial" w:cs="Arial" w:eastAsia="Arial" w:hAnsi="Arial"/>
          <w:i/>
          <w:iCs/>
          <w:color w:val="666666"/>
          <w:sz w:val="14"/>
          <w:szCs w:val="14"/>
        </w:rPr>
        <w:t xml:space="preserve">OffChartCPD · ABN 85 700 002 482 · Facilitator resource — not for participant distribution unless stated otherwise.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  <w:lvl w:ilvl="1" w15:tentative="1">
      <w:start w:val="1"/>
      <w:numFmt w:val="bullet"/>
      <w:lvlText w:val="◦"/>
      <w:lvlJc w:val="left"/>
      <w:pPr>
        <w:ind w:left="84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2026-07-10T04:56:54.822Z</dcterms:created>
  <dcterms:modified xsi:type="dcterms:W3CDTF">2026-07-10T04:56:54.822Z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