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4"/>
              <w:bottom w:val="single" w:color="1F3864" w:sz="4"/>
              <w:right w:val="single" w:color="1F3864" w:sz="4"/>
            </w:tcBorders>
            <w:shd w:fill="1F3864" w:val="clear"/>
            <w:tcMar>
              <w:top w:type="dxa" w:w="160"/>
              <w:left w:type="dxa" w:w="220"/>
              <w:bottom w:type="dxa" w:w="160"/>
              <w:right w:type="dxa" w:w="220"/>
            </w:tcMar>
          </w:tcPr>
          <w:p>
            <w:pPr>
              <w:spacing w:after="40"/>
            </w:pPr>
            <w:r>
              <w:rPr>
                <w:rFonts w:ascii="Arial" w:cs="Arial" w:eastAsia="Arial" w:hAnsi="Arial"/>
                <w:b/>
                <w:bCs/>
                <w:color w:val="FFFFFF"/>
                <w:sz w:val="24"/>
                <w:szCs w:val="24"/>
              </w:rPr>
              <w:t xml:space="preserve">OFFCHARTCPD  </w:t>
            </w:r>
            <w:r>
              <w:rPr>
                <w:rFonts w:ascii="Arial" w:cs="Arial" w:eastAsia="Arial" w:hAnsi="Arial"/>
                <w:color w:val="AACCEE"/>
                <w:sz w:val="18"/>
                <w:szCs w:val="18"/>
              </w:rPr>
              <w:t xml:space="preserve">Facilitator Resource</w:t>
            </w:r>
          </w:p>
          <w:p>
            <w:pPr>
              <w:spacing w:after="20"/>
            </w:pPr>
            <w:r>
              <w:rPr>
                <w:rFonts w:ascii="Arial" w:cs="Arial" w:eastAsia="Arial" w:hAnsi="Arial"/>
                <w:b/>
                <w:bCs/>
                <w:color w:val="FFFFFF"/>
                <w:sz w:val="32"/>
                <w:szCs w:val="32"/>
              </w:rPr>
              <w:t xml:space="preserve">PEARLS Debrief Framework</w:t>
            </w:r>
          </w:p>
          <w:p>
            <w:r>
              <w:rPr>
                <w:rFonts w:ascii="Arial" w:cs="Arial" w:eastAsia="Arial" w:hAnsi="Arial"/>
                <w:i/>
                <w:iCs/>
                <w:color w:val="CCDDEE"/>
                <w:sz w:val="19"/>
                <w:szCs w:val="19"/>
              </w:rPr>
              <w:t xml:space="preserve">Facilitator Guide — full detail</w:t>
            </w:r>
          </w:p>
        </w:tc>
      </w:tr>
    </w:tbl>
    <w:p>
      <w:pPr>
        <w:spacing w:after="200" w:before="100"/>
      </w:pPr>
      <w:r>
        <w:rPr>
          <w:rFonts w:ascii="Arial" w:cs="Arial" w:eastAsia="Arial" w:hAnsi="Arial"/>
          <w:i/>
          <w:iCs/>
          <w:color w:val="666666"/>
          <w:sz w:val="16"/>
          <w:szCs w:val="16"/>
        </w:rPr>
        <w:t xml:space="preserve">Core tool for all simulation sessions. Read in full before your first expedition as facilitator; use the companion Quick Reference Card in the field.</w:t>
      </w:r>
    </w:p>
    <w:p>
      <w:pPr>
        <w:pStyle w:val="Heading2"/>
        <w:spacing w:after="100" w:before="260"/>
      </w:pPr>
      <w:r>
        <w:rPr>
          <w:rFonts w:ascii="Arial" w:cs="Arial" w:eastAsia="Arial" w:hAnsi="Arial"/>
          <w:b/>
          <w:bCs/>
          <w:color w:val="1F3864"/>
          <w:sz w:val="24"/>
          <w:szCs w:val="24"/>
        </w:rPr>
        <w:t xml:space="preserve">Background</w:t>
      </w:r>
    </w:p>
    <w:p>
      <w:pPr>
        <w:spacing w:after="120"/>
      </w:pPr>
      <w:r>
        <w:rPr>
          <w:rFonts w:ascii="Arial" w:cs="Arial" w:eastAsia="Arial" w:hAnsi="Arial"/>
          <w:b w:val="false"/>
          <w:bCs w:val="false"/>
          <w:i w:val="false"/>
          <w:iCs w:val="false"/>
          <w:color w:val="000000"/>
          <w:sz w:val="20"/>
          <w:szCs w:val="20"/>
        </w:rPr>
        <w:t xml:space="preserve">PEARLS — Promoting Excellence And Reflective Learning in Simulation — was developed by Walter Eppich and Adam Cheng and published in Simulation in Healthcare (2015). It was designed to solve a real problem in simulation-based education: pure self-discovery debriefing (“what did you think?”) is respectful but slow and sometimes misses safety-critical points, while pure directive debriefing (“here's what you should have done”) is fast but can shut down genuine reflection and damage psychological safety. PEARLS blends both, deliberately, phase by phase.</w:t>
      </w:r>
    </w:p>
    <w:p>
      <w:pPr>
        <w:spacing w:after="120"/>
      </w:pPr>
      <w:r>
        <w:rPr>
          <w:rFonts w:ascii="Arial" w:cs="Arial" w:eastAsia="Arial" w:hAnsi="Arial"/>
          <w:b w:val="false"/>
          <w:bCs w:val="false"/>
          <w:i w:val="false"/>
          <w:iCs w:val="false"/>
          <w:color w:val="000000"/>
          <w:sz w:val="20"/>
          <w:szCs w:val="20"/>
        </w:rPr>
        <w:t xml:space="preserve">It is well suited to the OffChartCPD context: senior, experienced clinicians who don't want to be lectured at, in scenarios that are genuinely time-limited and often run in less-than-ideal field conditions.</w:t>
      </w:r>
    </w:p>
    <w:p>
      <w:pPr>
        <w:pStyle w:val="Heading2"/>
        <w:spacing w:after="100" w:before="260"/>
      </w:pPr>
      <w:r>
        <w:rPr>
          <w:rFonts w:ascii="Arial" w:cs="Arial" w:eastAsia="Arial" w:hAnsi="Arial"/>
          <w:b/>
          <w:bCs/>
          <w:color w:val="1F3864"/>
          <w:sz w:val="24"/>
          <w:szCs w:val="24"/>
        </w:rPr>
        <w:t xml:space="preserve">The Four Phases</w:t>
      </w:r>
    </w:p>
    <w:p>
      <w:pPr>
        <w:spacing w:after="60" w:before="180"/>
      </w:pPr>
      <w:r>
        <w:rPr>
          <w:rFonts w:ascii="Arial" w:cs="Arial" w:eastAsia="Arial" w:hAnsi="Arial"/>
          <w:b/>
          <w:bCs/>
          <w:color w:val="2E5D9E"/>
          <w:sz w:val="20"/>
          <w:szCs w:val="20"/>
        </w:rPr>
        <w:t xml:space="preserve">Phase 1 — Reactions (2–3 minutes)</w:t>
      </w:r>
    </w:p>
    <w:p>
      <w:pPr>
        <w:spacing w:after="120"/>
      </w:pPr>
      <w:r>
        <w:rPr>
          <w:rFonts w:ascii="Arial" w:cs="Arial" w:eastAsia="Arial" w:hAnsi="Arial"/>
          <w:b w:val="false"/>
          <w:bCs w:val="false"/>
          <w:i w:val="false"/>
          <w:iCs w:val="false"/>
          <w:color w:val="000000"/>
          <w:sz w:val="20"/>
          <w:szCs w:val="20"/>
        </w:rPr>
        <w:t xml:space="preserve">Purpose: let people offload the emotional charge of the scenario before you ask them to think analytically about it. Skipping this phase is the most common novice-facilitator mistake — participants who haven't been allowed to react will keep intruding with reactions later, derailing the analysis phase.</w:t>
      </w:r>
    </w:p>
    <w:p>
      <w:pPr>
        <w:spacing w:after="120"/>
      </w:pPr>
      <w:r>
        <w:rPr>
          <w:rFonts w:ascii="Arial" w:cs="Arial" w:eastAsia="Arial" w:hAnsi="Arial"/>
          <w:b w:val="false"/>
          <w:bCs w:val="false"/>
          <w:i w:val="false"/>
          <w:iCs w:val="false"/>
          <w:color w:val="000000"/>
          <w:sz w:val="20"/>
          <w:szCs w:val="20"/>
        </w:rPr>
        <w:t xml:space="preserve">Sample prompts:</w:t>
      </w:r>
    </w:p>
    <w:p>
      <w:pPr>
        <w:pStyle w:val="ListParagraph"/>
        <w:numPr>
          <w:ilvl w:val="0"/>
          <w:numId w:val="1"/>
        </w:numPr>
        <w:spacing w:after="60"/>
      </w:pPr>
      <w:r>
        <w:rPr>
          <w:rFonts w:ascii="Arial" w:cs="Arial" w:eastAsia="Arial" w:hAnsi="Arial"/>
          <w:sz w:val="20"/>
          <w:szCs w:val="20"/>
        </w:rPr>
        <w:t xml:space="preserve">“Before we get into the detail — how are you feeling about that one?”</w:t>
      </w:r>
    </w:p>
    <w:p>
      <w:pPr>
        <w:pStyle w:val="ListParagraph"/>
        <w:numPr>
          <w:ilvl w:val="0"/>
          <w:numId w:val="1"/>
        </w:numPr>
        <w:spacing w:after="60"/>
      </w:pPr>
      <w:r>
        <w:rPr>
          <w:rFonts w:ascii="Arial" w:cs="Arial" w:eastAsia="Arial" w:hAnsi="Arial"/>
          <w:sz w:val="20"/>
          <w:szCs w:val="20"/>
        </w:rPr>
        <w:t xml:space="preserve">“What's the headline for you, right now?”</w:t>
      </w:r>
    </w:p>
    <w:p>
      <w:pPr>
        <w:spacing w:after="120"/>
      </w:pPr>
      <w:r>
        <w:rPr>
          <w:rFonts w:ascii="Arial" w:cs="Arial" w:eastAsia="Arial" w:hAnsi="Arial"/>
          <w:b w:val="false"/>
          <w:bCs w:val="false"/>
          <w:i w:val="false"/>
          <w:iCs w:val="false"/>
          <w:color w:val="000000"/>
          <w:sz w:val="20"/>
          <w:szCs w:val="20"/>
        </w:rPr>
        <w:t xml:space="preserve">Facilitator move: acknowledge and validate, then bridge — “Okay, let's understand what happened.”</w:t>
      </w:r>
    </w:p>
    <w:p>
      <w:pPr>
        <w:spacing w:after="60" w:before="180"/>
      </w:pPr>
      <w:r>
        <w:rPr>
          <w:rFonts w:ascii="Arial" w:cs="Arial" w:eastAsia="Arial" w:hAnsi="Arial"/>
          <w:b/>
          <w:bCs/>
          <w:color w:val="2E5D9E"/>
          <w:sz w:val="20"/>
          <w:szCs w:val="20"/>
        </w:rPr>
        <w:t xml:space="preserve">Phase 2 — Description (3–5 minutes)</w:t>
      </w:r>
    </w:p>
    <w:p>
      <w:pPr>
        <w:spacing w:after="120"/>
      </w:pPr>
      <w:r>
        <w:rPr>
          <w:rFonts w:ascii="Arial" w:cs="Arial" w:eastAsia="Arial" w:hAnsi="Arial"/>
          <w:b w:val="false"/>
          <w:bCs w:val="false"/>
          <w:i w:val="false"/>
          <w:iCs w:val="false"/>
          <w:color w:val="000000"/>
          <w:sz w:val="20"/>
          <w:szCs w:val="20"/>
        </w:rPr>
        <w:t xml:space="preserve">Purpose: establish one shared, chronological account of what actually happened. This matters more than it sounds — in a fast-moving scenario, participants often have genuinely different accounts of the sequence of events, and analysis built on a disputed timeline goes nowhere.</w:t>
      </w:r>
    </w:p>
    <w:p>
      <w:pPr>
        <w:pStyle w:val="ListParagraph"/>
        <w:numPr>
          <w:ilvl w:val="0"/>
          <w:numId w:val="1"/>
        </w:numPr>
        <w:spacing w:after="60"/>
      </w:pPr>
      <w:r>
        <w:rPr>
          <w:rFonts w:ascii="Arial" w:cs="Arial" w:eastAsia="Arial" w:hAnsi="Arial"/>
          <w:sz w:val="20"/>
          <w:szCs w:val="20"/>
        </w:rPr>
        <w:t xml:space="preserve">“Can someone talk us through what happened, from the point the scenario started?”</w:t>
      </w:r>
    </w:p>
    <w:p>
      <w:pPr>
        <w:pStyle w:val="ListParagraph"/>
        <w:numPr>
          <w:ilvl w:val="0"/>
          <w:numId w:val="1"/>
        </w:numPr>
        <w:spacing w:after="60"/>
      </w:pPr>
      <w:r>
        <w:rPr>
          <w:rFonts w:ascii="Arial" w:cs="Arial" w:eastAsia="Arial" w:hAnsi="Arial"/>
          <w:sz w:val="20"/>
          <w:szCs w:val="20"/>
        </w:rPr>
        <w:t xml:space="preserve">“Does everyone agree that's the sequence? Anything anyone would add?”</w:t>
      </w:r>
    </w:p>
    <w:p>
      <w:pPr>
        <w:spacing w:after="120"/>
      </w:pPr>
      <w:r>
        <w:rPr>
          <w:rFonts w:ascii="Arial" w:cs="Arial" w:eastAsia="Arial" w:hAnsi="Arial"/>
          <w:b w:val="false"/>
          <w:bCs w:val="false"/>
          <w:i w:val="false"/>
          <w:iCs w:val="false"/>
          <w:color w:val="000000"/>
          <w:sz w:val="20"/>
          <w:szCs w:val="20"/>
        </w:rPr>
        <w:t xml:space="preserve">Facilitator move: stay neutral, resist the urge to analyse yet, just build the shared timeline.</w:t>
      </w:r>
    </w:p>
    <w:p>
      <w:pPr>
        <w:spacing w:after="60" w:before="180"/>
      </w:pPr>
      <w:r>
        <w:rPr>
          <w:rFonts w:ascii="Arial" w:cs="Arial" w:eastAsia="Arial" w:hAnsi="Arial"/>
          <w:b/>
          <w:bCs/>
          <w:color w:val="2E5D9E"/>
          <w:sz w:val="20"/>
          <w:szCs w:val="20"/>
        </w:rPr>
        <w:t xml:space="preserve">Phase 3 — Analysis (15–20 minutes)</w:t>
      </w:r>
    </w:p>
    <w:p>
      <w:pPr>
        <w:spacing w:after="120"/>
      </w:pPr>
      <w:r>
        <w:rPr>
          <w:rFonts w:ascii="Arial" w:cs="Arial" w:eastAsia="Arial" w:hAnsi="Arial"/>
          <w:b w:val="false"/>
          <w:bCs w:val="false"/>
          <w:i w:val="false"/>
          <w:iCs w:val="false"/>
          <w:color w:val="000000"/>
          <w:sz w:val="20"/>
          <w:szCs w:val="20"/>
        </w:rPr>
        <w:t xml:space="preserve">This is the substantive part of the debrief, and where the blended model does its work. Move between three strategies as the moment demands: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3460"/>
      </w:tblGrid>
      <w:tr>
        <w:trPr>
          <w:tblHeader/>
        </w:trPr>
        <w:tc>
          <w:tcPr>
            <w:tcW w:type="dxa" w:w="2200"/>
            <w:tcBorders>
              <w:top w:val="single" w:color="CCCCCC" w:sz="4"/>
              <w:left w:val="single" w:color="CCCCCC" w:sz="4"/>
              <w:bottom w:val="single" w:color="CCCCCC" w:sz="4"/>
              <w:right w:val="single" w:color="CCCCCC" w:sz="4"/>
            </w:tcBorders>
            <w:shd w:fill="1F3864" w:val="clear"/>
            <w:tcMar>
              <w:top w:type="dxa" w:w="80"/>
              <w:left w:type="dxa" w:w="120"/>
              <w:bottom w:type="dxa" w:w="80"/>
              <w:right w:type="dxa" w:w="120"/>
            </w:tcMar>
            <w:vAlign w:val="center"/>
          </w:tcPr>
          <w:p>
            <w:r>
              <w:rPr>
                <w:rFonts w:ascii="Arial" w:cs="Arial" w:eastAsia="Arial" w:hAnsi="Arial"/>
                <w:b/>
                <w:bCs/>
                <w:color w:val="FFFFFF"/>
                <w:sz w:val="17"/>
                <w:szCs w:val="17"/>
              </w:rPr>
              <w:t xml:space="preserve">Strategy</w:t>
            </w:r>
          </w:p>
        </w:tc>
        <w:tc>
          <w:tcPr>
            <w:tcW w:type="dxa" w:w="3700"/>
            <w:tcBorders>
              <w:top w:val="single" w:color="CCCCCC" w:sz="4"/>
              <w:left w:val="single" w:color="CCCCCC" w:sz="4"/>
              <w:bottom w:val="single" w:color="CCCCCC" w:sz="4"/>
              <w:right w:val="single" w:color="CCCCCC" w:sz="4"/>
            </w:tcBorders>
            <w:shd w:fill="1F3864" w:val="clear"/>
            <w:tcMar>
              <w:top w:type="dxa" w:w="80"/>
              <w:left w:type="dxa" w:w="120"/>
              <w:bottom w:type="dxa" w:w="80"/>
              <w:right w:type="dxa" w:w="120"/>
            </w:tcMar>
            <w:vAlign w:val="center"/>
          </w:tcPr>
          <w:p>
            <w:r>
              <w:rPr>
                <w:rFonts w:ascii="Arial" w:cs="Arial" w:eastAsia="Arial" w:hAnsi="Arial"/>
                <w:b/>
                <w:bCs/>
                <w:color w:val="FFFFFF"/>
                <w:sz w:val="17"/>
                <w:szCs w:val="17"/>
              </w:rPr>
              <w:t xml:space="preserve">When to use it</w:t>
            </w:r>
          </w:p>
        </w:tc>
        <w:tc>
          <w:tcPr>
            <w:tcW w:type="dxa" w:w="3460"/>
            <w:tcBorders>
              <w:top w:val="single" w:color="CCCCCC" w:sz="4"/>
              <w:left w:val="single" w:color="CCCCCC" w:sz="4"/>
              <w:bottom w:val="single" w:color="CCCCCC" w:sz="4"/>
              <w:right w:val="single" w:color="CCCCCC" w:sz="4"/>
            </w:tcBorders>
            <w:shd w:fill="1F3864" w:val="clear"/>
            <w:tcMar>
              <w:top w:type="dxa" w:w="80"/>
              <w:left w:type="dxa" w:w="120"/>
              <w:bottom w:type="dxa" w:w="80"/>
              <w:right w:type="dxa" w:w="120"/>
            </w:tcMar>
            <w:vAlign w:val="center"/>
          </w:tcPr>
          <w:p>
            <w:r>
              <w:rPr>
                <w:rFonts w:ascii="Arial" w:cs="Arial" w:eastAsia="Arial" w:hAnsi="Arial"/>
                <w:b/>
                <w:bCs/>
                <w:color w:val="FFFFFF"/>
                <w:sz w:val="17"/>
                <w:szCs w:val="17"/>
              </w:rPr>
              <w:t xml:space="preserve">How it sounds</w:t>
            </w:r>
          </w:p>
        </w:tc>
      </w:tr>
      <w:tr>
        <w:tc>
          <w:tcPr>
            <w:tcW w:type="dxa" w:w="2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sz w:val="17"/>
                <w:szCs w:val="17"/>
              </w:rPr>
              <w:t xml:space="preserve">Learner self-assessment</w:t>
            </w:r>
          </w:p>
        </w:tc>
        <w:tc>
          <w:tcPr>
            <w:tcW w:type="dxa" w:w="3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sz w:val="17"/>
                <w:szCs w:val="17"/>
              </w:rPr>
              <w:t xml:space="preserve">Default starting point for any decision point. Use whenever there's a reasonable chance the participant can reach the insight themselves.</w:t>
            </w:r>
          </w:p>
        </w:tc>
        <w:tc>
          <w:tcPr>
            <w:tcW w:type="dxa" w:w="34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sz w:val="17"/>
                <w:szCs w:val="17"/>
              </w:rPr>
              <w:t xml:space="preserve">“Walk me through your thinking at that point.”</w:t>
            </w:r>
          </w:p>
        </w:tc>
      </w:tr>
      <w:tr>
        <w:tc>
          <w:tcPr>
            <w:tcW w:type="dxa" w:w="2200"/>
            <w:tcBorders>
              <w:top w:val="single" w:color="CCCCCC" w:sz="4"/>
              <w:left w:val="single" w:color="CCCCCC" w:sz="4"/>
              <w:bottom w:val="single" w:color="CCCCCC" w:sz="4"/>
              <w:right w:val="single" w:color="CCCCCC" w:sz="4"/>
            </w:tcBorders>
            <w:shd w:fill="F5F7FA" w:val="clear"/>
            <w:tcMar>
              <w:top w:type="dxa" w:w="80"/>
              <w:left w:type="dxa" w:w="120"/>
              <w:bottom w:type="dxa" w:w="80"/>
              <w:right w:type="dxa" w:w="120"/>
            </w:tcMar>
          </w:tcPr>
          <w:p>
            <w:r>
              <w:rPr>
                <w:rFonts w:ascii="Arial" w:cs="Arial" w:eastAsia="Arial" w:hAnsi="Arial"/>
                <w:sz w:val="17"/>
                <w:szCs w:val="17"/>
              </w:rPr>
              <w:t xml:space="preserve">Focused facilitation
(advocacy–inquiry)</w:t>
            </w:r>
          </w:p>
        </w:tc>
        <w:tc>
          <w:tcPr>
            <w:tcW w:type="dxa" w:w="3700"/>
            <w:tcBorders>
              <w:top w:val="single" w:color="CCCCCC" w:sz="4"/>
              <w:left w:val="single" w:color="CCCCCC" w:sz="4"/>
              <w:bottom w:val="single" w:color="CCCCCC" w:sz="4"/>
              <w:right w:val="single" w:color="CCCCCC" w:sz="4"/>
            </w:tcBorders>
            <w:shd w:fill="F5F7FA" w:val="clear"/>
            <w:tcMar>
              <w:top w:type="dxa" w:w="80"/>
              <w:left w:type="dxa" w:w="120"/>
              <w:bottom w:type="dxa" w:w="80"/>
              <w:right w:type="dxa" w:w="120"/>
            </w:tcMar>
          </w:tcPr>
          <w:p>
            <w:r>
              <w:rPr>
                <w:rFonts w:ascii="Arial" w:cs="Arial" w:eastAsia="Arial" w:hAnsi="Arial"/>
                <w:sz w:val="17"/>
                <w:szCs w:val="17"/>
              </w:rPr>
              <w:t xml:space="preserve">When self-assessment stalls, or when you have an observation the group hasn't surfaced.</w:t>
            </w:r>
          </w:p>
        </w:tc>
        <w:tc>
          <w:tcPr>
            <w:tcW w:type="dxa" w:w="3460"/>
            <w:tcBorders>
              <w:top w:val="single" w:color="CCCCCC" w:sz="4"/>
              <w:left w:val="single" w:color="CCCCCC" w:sz="4"/>
              <w:bottom w:val="single" w:color="CCCCCC" w:sz="4"/>
              <w:right w:val="single" w:color="CCCCCC" w:sz="4"/>
            </w:tcBorders>
            <w:shd w:fill="F5F7FA" w:val="clear"/>
            <w:tcMar>
              <w:top w:type="dxa" w:w="80"/>
              <w:left w:type="dxa" w:w="120"/>
              <w:bottom w:type="dxa" w:w="80"/>
              <w:right w:type="dxa" w:w="120"/>
            </w:tcMar>
          </w:tcPr>
          <w:p>
            <w:r>
              <w:rPr>
                <w:rFonts w:ascii="Arial" w:cs="Arial" w:eastAsia="Arial" w:hAnsi="Arial"/>
                <w:sz w:val="17"/>
                <w:szCs w:val="17"/>
              </w:rPr>
              <w:t xml:space="preserve">“I noticed X. What was happening there for you?”</w:t>
            </w:r>
          </w:p>
        </w:tc>
      </w:tr>
      <w:tr>
        <w:tc>
          <w:tcPr>
            <w:tcW w:type="dxa" w:w="22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sz w:val="17"/>
                <w:szCs w:val="17"/>
              </w:rPr>
              <w:t xml:space="preserve">Directive feedback</w:t>
            </w:r>
          </w:p>
        </w:tc>
        <w:tc>
          <w:tcPr>
            <w:tcW w:type="dxa" w:w="3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sz w:val="17"/>
                <w:szCs w:val="17"/>
              </w:rPr>
              <w:t xml:space="preserve">Safety-critical gaps, or clear knowledge deficits that must not be left ambiguous. Use sparingly.</w:t>
            </w:r>
          </w:p>
        </w:tc>
        <w:tc>
          <w:tcPr>
            <w:tcW w:type="dxa" w:w="346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rFonts w:ascii="Arial" w:cs="Arial" w:eastAsia="Arial" w:hAnsi="Arial"/>
                <w:sz w:val="17"/>
                <w:szCs w:val="17"/>
              </w:rPr>
              <w:t xml:space="preserve">“In that situation, the priority is X, because Y. Let's talk about why.”</w:t>
            </w:r>
          </w:p>
        </w:tc>
      </w:tr>
    </w:tbl>
    <w:p>
      <w:pPr>
        <w:spacing w:after="120"/>
      </w:pPr>
      <w:r>
        <w:rPr>
          <w:rFonts w:ascii="Arial" w:cs="Arial" w:eastAsia="Arial" w:hAnsi="Arial"/>
          <w:b w:val="false"/>
          <w:bCs w:val="false"/>
          <w:i w:val="false"/>
          <w:iCs w:val="false"/>
          <w:color w:val="000000"/>
          <w:sz w:val="20"/>
          <w:szCs w:val="20"/>
        </w:rPr>
        <w:t xml:space="preserve">Advocacy–inquiry, in more detail: state a specific, non-judgemental observation (the advocacy), then ask a genuinely curious question about the reasoning behind it (the inquiry). “I saw the team didn't close the loop on that drug order — what was going on there?” is advocacy–inquiry. “Why didn't you close the loop?” is not — it reads as accusation, not curiosity, and will close the conversation down rather than open it.</w:t>
      </w:r>
    </w:p>
    <w:p>
      <w:pPr>
        <w:spacing w:after="120"/>
      </w:pPr>
      <w:r>
        <w:rPr>
          <w:rFonts w:ascii="Arial" w:cs="Arial" w:eastAsia="Arial" w:hAnsi="Arial"/>
          <w:b w:val="false"/>
          <w:bCs w:val="false"/>
          <w:i w:val="false"/>
          <w:iCs w:val="false"/>
          <w:color w:val="000000"/>
          <w:sz w:val="20"/>
          <w:szCs w:val="20"/>
        </w:rPr>
        <w:t xml:space="preserve">Work systematically through the two or three decision points that mattered most in the scenario — don't try to cover everything. Depth beats breadth.</w:t>
      </w:r>
    </w:p>
    <w:p>
      <w:pPr>
        <w:spacing w:after="60" w:before="180"/>
      </w:pPr>
      <w:r>
        <w:rPr>
          <w:rFonts w:ascii="Arial" w:cs="Arial" w:eastAsia="Arial" w:hAnsi="Arial"/>
          <w:b/>
          <w:bCs/>
          <w:color w:val="2E5D9E"/>
          <w:sz w:val="20"/>
          <w:szCs w:val="20"/>
        </w:rPr>
        <w:t xml:space="preserve">Phase 4 — Summary (3–5 minutes)</w:t>
      </w:r>
    </w:p>
    <w:p>
      <w:pPr>
        <w:spacing w:after="120"/>
      </w:pPr>
      <w:r>
        <w:rPr>
          <w:rFonts w:ascii="Arial" w:cs="Arial" w:eastAsia="Arial" w:hAnsi="Arial"/>
          <w:b w:val="false"/>
          <w:bCs w:val="false"/>
          <w:i w:val="false"/>
          <w:iCs w:val="false"/>
          <w:color w:val="000000"/>
          <w:sz w:val="20"/>
          <w:szCs w:val="20"/>
        </w:rPr>
        <w:t xml:space="preserve">Purpose: consolidate the session into something portable. A debrief that ends without a clear takeaway is a missed opportunity — the whole point is that the insight travels home with the participant.</w:t>
      </w:r>
    </w:p>
    <w:p>
      <w:pPr>
        <w:pStyle w:val="ListParagraph"/>
        <w:numPr>
          <w:ilvl w:val="0"/>
          <w:numId w:val="1"/>
        </w:numPr>
        <w:spacing w:after="60"/>
      </w:pPr>
      <w:r>
        <w:rPr>
          <w:rFonts w:ascii="Arial" w:cs="Arial" w:eastAsia="Arial" w:hAnsi="Arial"/>
          <w:sz w:val="20"/>
          <w:szCs w:val="20"/>
        </w:rPr>
        <w:t xml:space="preserve">“If you take one thing from this scenario back to your own department, what is it?”</w:t>
      </w:r>
    </w:p>
    <w:p>
      <w:pPr>
        <w:pStyle w:val="ListParagraph"/>
        <w:numPr>
          <w:ilvl w:val="0"/>
          <w:numId w:val="1"/>
        </w:numPr>
        <w:spacing w:after="60"/>
      </w:pPr>
      <w:r>
        <w:rPr>
          <w:rFonts w:ascii="Arial" w:cs="Arial" w:eastAsia="Arial" w:hAnsi="Arial"/>
          <w:sz w:val="20"/>
          <w:szCs w:val="20"/>
        </w:rPr>
        <w:t xml:space="preserve">Go around the group — everyone states one takeaway, in one sentence.</w:t>
      </w:r>
    </w:p>
    <w:p>
      <w:pPr>
        <w:spacing w:after="120"/>
      </w:pPr>
      <w:r>
        <w:rPr>
          <w:rFonts w:ascii="Arial" w:cs="Arial" w:eastAsia="Arial" w:hAnsi="Arial"/>
          <w:b w:val="false"/>
          <w:bCs w:val="false"/>
          <w:i w:val="false"/>
          <w:iCs w:val="false"/>
          <w:color w:val="000000"/>
          <w:sz w:val="20"/>
          <w:szCs w:val="20"/>
        </w:rPr>
        <w:t xml:space="preserve">Facilitator move: close warmly. This is a peer CPD environment, not an assessment — end on the same collegial footing you started on.</w:t>
      </w:r>
    </w:p>
    <w:p>
      <w:pPr>
        <w:pStyle w:val="Heading2"/>
        <w:spacing w:after="100" w:before="260"/>
      </w:pPr>
      <w:r>
        <w:rPr>
          <w:rFonts w:ascii="Arial" w:cs="Arial" w:eastAsia="Arial" w:hAnsi="Arial"/>
          <w:b/>
          <w:bCs/>
          <w:color w:val="1F3864"/>
          <w:sz w:val="24"/>
          <w:szCs w:val="24"/>
        </w:rPr>
        <w:t xml:space="preserve">Common Pitfalls</w:t>
      </w:r>
    </w:p>
    <w:p>
      <w:pPr>
        <w:pStyle w:val="ListParagraph"/>
        <w:numPr>
          <w:ilvl w:val="0"/>
          <w:numId w:val="2"/>
        </w:numPr>
        <w:spacing w:after="60"/>
      </w:pPr>
      <w:r>
        <w:rPr>
          <w:rFonts w:ascii="Arial" w:cs="Arial" w:eastAsia="Arial" w:hAnsi="Arial"/>
          <w:sz w:val="20"/>
          <w:szCs w:val="20"/>
        </w:rPr>
        <w:t xml:space="preserve">Skipping Reactions and going straight to “what happened” — leaves unresolved emotional noise sitting under the whole debrief.</w:t>
      </w:r>
    </w:p>
    <w:p>
      <w:pPr>
        <w:pStyle w:val="ListParagraph"/>
        <w:numPr>
          <w:ilvl w:val="0"/>
          <w:numId w:val="2"/>
        </w:numPr>
        <w:spacing w:after="60"/>
      </w:pPr>
      <w:r>
        <w:rPr>
          <w:rFonts w:ascii="Arial" w:cs="Arial" w:eastAsia="Arial" w:hAnsi="Arial"/>
          <w:sz w:val="20"/>
          <w:szCs w:val="20"/>
        </w:rPr>
        <w:t xml:space="preserve">Over-using directive feedback because it's faster — it's faster in the moment and slower over the week, because it doesn't build the reflective habit you're actually trying to teach.</w:t>
      </w:r>
    </w:p>
    <w:p>
      <w:pPr>
        <w:pStyle w:val="ListParagraph"/>
        <w:numPr>
          <w:ilvl w:val="0"/>
          <w:numId w:val="2"/>
        </w:numPr>
        <w:spacing w:after="60"/>
      </w:pPr>
      <w:r>
        <w:rPr>
          <w:rFonts w:ascii="Arial" w:cs="Arial" w:eastAsia="Arial" w:hAnsi="Arial"/>
          <w:sz w:val="20"/>
          <w:szCs w:val="20"/>
        </w:rPr>
        <w:t xml:space="preserve">Trying to cover every decision point in the scenario rather than the two or three that matter most.</w:t>
      </w:r>
    </w:p>
    <w:p>
      <w:pPr>
        <w:pStyle w:val="ListParagraph"/>
        <w:numPr>
          <w:ilvl w:val="0"/>
          <w:numId w:val="2"/>
        </w:numPr>
        <w:spacing w:after="60"/>
      </w:pPr>
      <w:r>
        <w:rPr>
          <w:rFonts w:ascii="Arial" w:cs="Arial" w:eastAsia="Arial" w:hAnsi="Arial"/>
          <w:sz w:val="20"/>
          <w:szCs w:val="20"/>
        </w:rPr>
        <w:t xml:space="preserve">Asking “why did you do that?” as pure inquiry without the advocacy half — it reads as challenge, not curiosity, especially to a senior clinician being debriefed by a peer.</w:t>
      </w:r>
    </w:p>
    <w:p>
      <w:pPr>
        <w:pStyle w:val="ListParagraph"/>
        <w:numPr>
          <w:ilvl w:val="0"/>
          <w:numId w:val="2"/>
        </w:numPr>
        <w:spacing w:after="60"/>
      </w:pPr>
      <w:r>
        <w:rPr>
          <w:rFonts w:ascii="Arial" w:cs="Arial" w:eastAsia="Arial" w:hAnsi="Arial"/>
          <w:sz w:val="20"/>
          <w:szCs w:val="20"/>
        </w:rPr>
        <w:t xml:space="preserve">Letting Analysis run long and cutting Summary short — the reverse of what should happen.</w:t>
      </w:r>
    </w:p>
    <w:p>
      <w:pPr>
        <w:pStyle w:val="Heading2"/>
        <w:spacing w:after="100" w:before="260"/>
      </w:pPr>
      <w:r>
        <w:rPr>
          <w:rFonts w:ascii="Arial" w:cs="Arial" w:eastAsia="Arial" w:hAnsi="Arial"/>
          <w:b/>
          <w:bCs/>
          <w:color w:val="1F3864"/>
          <w:sz w:val="24"/>
          <w:szCs w:val="24"/>
        </w:rPr>
        <w:t xml:space="preserve">Facilitating in the Field</w:t>
      </w:r>
    </w:p>
    <w:p>
      <w:pPr>
        <w:spacing w:after="120"/>
      </w:pPr>
      <w:r>
        <w:rPr>
          <w:rFonts w:ascii="Arial" w:cs="Arial" w:eastAsia="Arial" w:hAnsi="Arial"/>
          <w:b w:val="false"/>
          <w:bCs w:val="false"/>
          <w:i w:val="false"/>
          <w:iCs w:val="false"/>
          <w:color w:val="000000"/>
          <w:sz w:val="20"/>
          <w:szCs w:val="20"/>
        </w:rPr>
        <w:t xml:space="preserve">Field debriefs differ from a simulation lab in three ways worth planning for: time is genuinely limited (don't start a debrief you can't finish), the group is often standing or sitting in the cold or heat rather than a comfortable room (keep it tight), and everyone present has clinical seniority, which changes the power dynamic of directive feedback — use it more sparingly than you would with trainees.</w:t>
      </w:r>
    </w:p>
    <w:p>
      <w:pPr>
        <w:pBdr>
          <w:top w:val="single" w:color="CCCCCC" w:sz="4" w:space="8"/>
        </w:pBdr>
        <w:spacing w:before="300"/>
      </w:pPr>
      <w:r>
        <w:rPr>
          <w:rFonts w:ascii="Arial" w:cs="Arial" w:eastAsia="Arial" w:hAnsi="Arial"/>
          <w:i/>
          <w:iCs/>
          <w:color w:val="666666"/>
          <w:sz w:val="14"/>
          <w:szCs w:val="14"/>
        </w:rPr>
        <w:t xml:space="preserve">OffChartCPD · ABN 85 700 002 482 · Facilitator resource — not for participant distribution unless stated otherwise.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2026-07-10T04:56:42.824Z</dcterms:created>
  <dcterms:modified xsi:type="dcterms:W3CDTF">2026-07-10T04:56:42.824Z</dcterms:modified>
</cp:coreProperties>
</file>

<file path=docProps/custom.xml><?xml version="1.0" encoding="utf-8"?>
<Properties xmlns="http://schemas.openxmlformats.org/officeDocument/2006/custom-properties" xmlns:vt="http://schemas.openxmlformats.org/officeDocument/2006/docPropsVTypes"/>
</file>